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6CFA" w14:textId="13A2B0DD" w:rsidR="006C3793" w:rsidRDefault="00BE4FB9" w:rsidP="00BE4FB9">
      <w:pPr>
        <w:shd w:val="clear" w:color="auto" w:fill="FFFFFF"/>
        <w:spacing w:after="100" w:afterAutospacing="1" w:line="240" w:lineRule="auto"/>
        <w:rPr>
          <w:rFonts w:ascii="Segoe UI" w:eastAsia="Times New Roman" w:hAnsi="Segoe UI" w:cs="Segoe UI"/>
          <w:color w:val="212529"/>
          <w:sz w:val="24"/>
          <w:szCs w:val="24"/>
          <w:lang w:eastAsia="en-GB"/>
        </w:rPr>
      </w:pPr>
      <w:r w:rsidRPr="00BE4FB9">
        <w:rPr>
          <w:rFonts w:ascii="Segoe UI" w:eastAsia="Times New Roman" w:hAnsi="Segoe UI" w:cs="Segoe UI"/>
          <w:color w:val="212529"/>
          <w:sz w:val="24"/>
          <w:szCs w:val="24"/>
          <w:lang w:eastAsia="en-GB"/>
        </w:rPr>
        <w:br/>
      </w:r>
      <w:r w:rsidR="004D49D3">
        <w:rPr>
          <w:rFonts w:ascii="Segoe UI" w:eastAsia="Times New Roman" w:hAnsi="Segoe UI" w:cs="Segoe UI"/>
          <w:color w:val="212529"/>
          <w:sz w:val="24"/>
          <w:szCs w:val="24"/>
          <w:lang w:eastAsia="en-GB"/>
        </w:rPr>
        <w:t>Minimum arrangements</w:t>
      </w:r>
      <w:r w:rsidR="006C3793" w:rsidRPr="006C3793">
        <w:rPr>
          <w:rFonts w:ascii="Segoe UI" w:eastAsia="Times New Roman" w:hAnsi="Segoe UI" w:cs="Segoe UI"/>
          <w:color w:val="212529"/>
          <w:sz w:val="24"/>
          <w:szCs w:val="24"/>
          <w:lang w:eastAsia="en-GB"/>
        </w:rPr>
        <w:t xml:space="preserve"> Exhibitors </w:t>
      </w:r>
      <w:r w:rsidR="004D49D3">
        <w:rPr>
          <w:rFonts w:ascii="Segoe UI" w:eastAsia="Times New Roman" w:hAnsi="Segoe UI" w:cs="Segoe UI"/>
          <w:color w:val="212529"/>
          <w:sz w:val="24"/>
          <w:szCs w:val="24"/>
          <w:lang w:eastAsia="en-GB"/>
        </w:rPr>
        <w:t xml:space="preserve">are required to have in place </w:t>
      </w:r>
      <w:r w:rsidR="006C3793">
        <w:rPr>
          <w:rFonts w:ascii="Segoe UI" w:eastAsia="Times New Roman" w:hAnsi="Segoe UI" w:cs="Segoe UI"/>
          <w:color w:val="212529"/>
          <w:sz w:val="24"/>
          <w:szCs w:val="24"/>
          <w:lang w:eastAsia="en-GB"/>
        </w:rPr>
        <w:t xml:space="preserve">to maintain food </w:t>
      </w:r>
      <w:r w:rsidR="004D49D3">
        <w:rPr>
          <w:rFonts w:ascii="Segoe UI" w:eastAsia="Times New Roman" w:hAnsi="Segoe UI" w:cs="Segoe UI"/>
          <w:color w:val="212529"/>
          <w:sz w:val="24"/>
          <w:szCs w:val="24"/>
          <w:lang w:eastAsia="en-GB"/>
        </w:rPr>
        <w:t>safety at the event</w:t>
      </w:r>
      <w:r w:rsidR="006C3793">
        <w:rPr>
          <w:rFonts w:ascii="Segoe UI" w:eastAsia="Times New Roman" w:hAnsi="Segoe UI" w:cs="Segoe UI"/>
          <w:color w:val="212529"/>
          <w:sz w:val="24"/>
          <w:szCs w:val="24"/>
          <w:lang w:eastAsia="en-GB"/>
        </w:rPr>
        <w:t>:</w:t>
      </w:r>
    </w:p>
    <w:p w14:paraId="04A29059" w14:textId="77777777" w:rsidR="006C0B83" w:rsidRPr="000477B7" w:rsidRDefault="006C0B83" w:rsidP="006C0B83">
      <w:pPr>
        <w:rPr>
          <w:b/>
          <w:bCs/>
          <w:sz w:val="24"/>
          <w:szCs w:val="24"/>
        </w:rPr>
      </w:pPr>
      <w:r w:rsidRPr="000477B7">
        <w:rPr>
          <w:b/>
          <w:bCs/>
          <w:sz w:val="24"/>
          <w:szCs w:val="24"/>
        </w:rPr>
        <w:t>Low-Risk</w:t>
      </w:r>
    </w:p>
    <w:p w14:paraId="6B88578F" w14:textId="77777777" w:rsidR="006C0B83" w:rsidRDefault="006C0B83" w:rsidP="006C0B83">
      <w:pPr>
        <w:jc w:val="both"/>
      </w:pPr>
      <w:r>
        <w:t xml:space="preserve">Serving pre-packed, ambient foods </w:t>
      </w:r>
      <w:proofErr w:type="gramStart"/>
      <w:r>
        <w:t>e.g.</w:t>
      </w:r>
      <w:proofErr w:type="gramEnd"/>
      <w:r>
        <w:t xml:space="preserve"> crisps, drinks, chocolate, snack bars, single-serving cakes, and products portioned off-site. </w:t>
      </w:r>
    </w:p>
    <w:tbl>
      <w:tblPr>
        <w:tblStyle w:val="TableGrid"/>
        <w:tblW w:w="0" w:type="auto"/>
        <w:tblLook w:val="04A0" w:firstRow="1" w:lastRow="0" w:firstColumn="1" w:lastColumn="0" w:noHBand="0" w:noVBand="1"/>
      </w:tblPr>
      <w:tblGrid>
        <w:gridCol w:w="8075"/>
        <w:gridCol w:w="941"/>
      </w:tblGrid>
      <w:tr w:rsidR="006C0B83" w14:paraId="4CAC4E8F" w14:textId="77777777" w:rsidTr="0006462F">
        <w:tc>
          <w:tcPr>
            <w:tcW w:w="8075" w:type="dxa"/>
          </w:tcPr>
          <w:p w14:paraId="6893EFC0" w14:textId="77777777" w:rsidR="006C0B83" w:rsidRPr="007308F8" w:rsidRDefault="006C0B83" w:rsidP="0006462F">
            <w:pPr>
              <w:rPr>
                <w:b/>
                <w:bCs/>
              </w:rPr>
            </w:pPr>
            <w:r w:rsidRPr="007308F8">
              <w:rPr>
                <w:b/>
                <w:bCs/>
              </w:rPr>
              <w:t>Items to remember</w:t>
            </w:r>
          </w:p>
        </w:tc>
        <w:tc>
          <w:tcPr>
            <w:tcW w:w="941" w:type="dxa"/>
          </w:tcPr>
          <w:p w14:paraId="0E617AAF" w14:textId="77777777" w:rsidR="006C0B83" w:rsidRPr="00AF66BE" w:rsidRDefault="006C0B83" w:rsidP="0006462F">
            <w:pPr>
              <w:jc w:val="center"/>
              <w:rPr>
                <w:b/>
                <w:bCs/>
              </w:rPr>
            </w:pPr>
            <w:r w:rsidRPr="00AF66BE">
              <w:rPr>
                <w:b/>
                <w:bCs/>
              </w:rPr>
              <w:t>Tick</w:t>
            </w:r>
          </w:p>
        </w:tc>
      </w:tr>
      <w:tr w:rsidR="006C0B83" w14:paraId="253878D4" w14:textId="77777777" w:rsidTr="0006462F">
        <w:tc>
          <w:tcPr>
            <w:tcW w:w="8075" w:type="dxa"/>
          </w:tcPr>
          <w:p w14:paraId="094EACA1" w14:textId="77777777" w:rsidR="006C0B83" w:rsidRDefault="006C0B83" w:rsidP="0006462F">
            <w:r>
              <w:t>Sanitising hand wipes or anti-bacterial hand gel</w:t>
            </w:r>
          </w:p>
        </w:tc>
        <w:tc>
          <w:tcPr>
            <w:tcW w:w="941" w:type="dxa"/>
          </w:tcPr>
          <w:p w14:paraId="2A414673" w14:textId="77777777" w:rsidR="006C0B83" w:rsidRDefault="006C0B83" w:rsidP="0006462F"/>
        </w:tc>
      </w:tr>
      <w:tr w:rsidR="006C0B83" w14:paraId="3F68207E" w14:textId="77777777" w:rsidTr="0006462F">
        <w:tc>
          <w:tcPr>
            <w:tcW w:w="8075" w:type="dxa"/>
          </w:tcPr>
          <w:p w14:paraId="028028B3" w14:textId="77777777" w:rsidR="006C0B83" w:rsidRDefault="006C0B83" w:rsidP="0006462F">
            <w:r w:rsidRPr="0074506A">
              <w:t>Food safe disinfectant and/or sanitiser meeting BS EN: 1276/BS EN: 13697</w:t>
            </w:r>
          </w:p>
        </w:tc>
        <w:tc>
          <w:tcPr>
            <w:tcW w:w="941" w:type="dxa"/>
          </w:tcPr>
          <w:p w14:paraId="09A5F9AD" w14:textId="77777777" w:rsidR="006C0B83" w:rsidRDefault="006C0B83" w:rsidP="0006462F"/>
        </w:tc>
      </w:tr>
      <w:tr w:rsidR="006C0B83" w14:paraId="775947AD" w14:textId="77777777" w:rsidTr="0006462F">
        <w:tc>
          <w:tcPr>
            <w:tcW w:w="8075" w:type="dxa"/>
          </w:tcPr>
          <w:p w14:paraId="18B3468D" w14:textId="77777777" w:rsidR="006C0B83" w:rsidRDefault="006C0B83" w:rsidP="0006462F">
            <w:r>
              <w:t xml:space="preserve">Allergen information for all foods/drinks being sampled. </w:t>
            </w:r>
            <w:r w:rsidRPr="0074506A">
              <w:t>(Cross contamination should be considered)</w:t>
            </w:r>
          </w:p>
        </w:tc>
        <w:tc>
          <w:tcPr>
            <w:tcW w:w="941" w:type="dxa"/>
          </w:tcPr>
          <w:p w14:paraId="30A65009" w14:textId="77777777" w:rsidR="006C0B83" w:rsidRDefault="006C0B83" w:rsidP="0006462F"/>
        </w:tc>
      </w:tr>
      <w:tr w:rsidR="006C0B83" w14:paraId="509F6763" w14:textId="77777777" w:rsidTr="0006462F">
        <w:tc>
          <w:tcPr>
            <w:tcW w:w="8075" w:type="dxa"/>
          </w:tcPr>
          <w:p w14:paraId="371FB2F5" w14:textId="77777777" w:rsidR="006C0B83" w:rsidRDefault="006C0B83" w:rsidP="0006462F">
            <w:r>
              <w:t xml:space="preserve">If samples are to be given sealed, please ensure full labelling is present for ingredients and allergens. </w:t>
            </w:r>
          </w:p>
        </w:tc>
        <w:tc>
          <w:tcPr>
            <w:tcW w:w="941" w:type="dxa"/>
          </w:tcPr>
          <w:p w14:paraId="56212543" w14:textId="77777777" w:rsidR="006C0B83" w:rsidRDefault="006C0B83" w:rsidP="0006462F"/>
        </w:tc>
      </w:tr>
      <w:tr w:rsidR="006C0B83" w14:paraId="622FF6C5" w14:textId="77777777" w:rsidTr="0006462F">
        <w:tc>
          <w:tcPr>
            <w:tcW w:w="8075" w:type="dxa"/>
          </w:tcPr>
          <w:p w14:paraId="0E4E17F6" w14:textId="77777777" w:rsidR="006C0B83" w:rsidRDefault="006C0B83" w:rsidP="0006462F">
            <w:r w:rsidRPr="0074506A">
              <w:t>Staff should be trained in food hygiene e.g. Level 2 or above or alternatively briefed on the essentials for their role e.g. Hand washing, allergens, cleaning, food storage requirements, pests, sickness procedures (including staying off work until 48 hours symptom free), control of raw/ready to eat foods, temperature control etc. We recommend this is documented and signed.</w:t>
            </w:r>
          </w:p>
        </w:tc>
        <w:tc>
          <w:tcPr>
            <w:tcW w:w="941" w:type="dxa"/>
          </w:tcPr>
          <w:p w14:paraId="64F9E76C" w14:textId="77777777" w:rsidR="006C0B83" w:rsidRDefault="006C0B83" w:rsidP="0006462F"/>
        </w:tc>
      </w:tr>
    </w:tbl>
    <w:p w14:paraId="651AC9EB" w14:textId="77777777" w:rsidR="006C0B83" w:rsidRDefault="006C0B83" w:rsidP="006C0B83"/>
    <w:p w14:paraId="4FC11ADB" w14:textId="77777777" w:rsidR="006C0B83" w:rsidRPr="000477B7" w:rsidRDefault="006C0B83" w:rsidP="006C0B83">
      <w:pPr>
        <w:rPr>
          <w:b/>
          <w:bCs/>
          <w:sz w:val="24"/>
          <w:szCs w:val="24"/>
        </w:rPr>
      </w:pPr>
      <w:r w:rsidRPr="000477B7">
        <w:rPr>
          <w:b/>
          <w:bCs/>
          <w:sz w:val="24"/>
          <w:szCs w:val="24"/>
        </w:rPr>
        <w:t>Medium-Risk</w:t>
      </w:r>
    </w:p>
    <w:p w14:paraId="3E301F45" w14:textId="77777777" w:rsidR="006C0B83" w:rsidRDefault="006C0B83" w:rsidP="006C0B83">
      <w:pPr>
        <w:jc w:val="both"/>
      </w:pPr>
      <w:r>
        <w:t xml:space="preserve">Serving pre-prepared and pre-packaged (sealed) foods requiring heating up or portioning on stand e.g. pre-packaged sauces, tinned ingredients, ready to eat foods including ice cream, reheated soups and cheese.  </w:t>
      </w:r>
    </w:p>
    <w:tbl>
      <w:tblPr>
        <w:tblStyle w:val="TableGrid"/>
        <w:tblW w:w="0" w:type="auto"/>
        <w:tblLook w:val="04A0" w:firstRow="1" w:lastRow="0" w:firstColumn="1" w:lastColumn="0" w:noHBand="0" w:noVBand="1"/>
      </w:tblPr>
      <w:tblGrid>
        <w:gridCol w:w="8075"/>
        <w:gridCol w:w="941"/>
      </w:tblGrid>
      <w:tr w:rsidR="006C0B83" w14:paraId="799B53A9" w14:textId="77777777" w:rsidTr="0006462F">
        <w:tc>
          <w:tcPr>
            <w:tcW w:w="8075" w:type="dxa"/>
          </w:tcPr>
          <w:p w14:paraId="572C807E" w14:textId="77777777" w:rsidR="006C0B83" w:rsidRPr="00265104" w:rsidRDefault="006C0B83" w:rsidP="0006462F">
            <w:pPr>
              <w:rPr>
                <w:b/>
                <w:bCs/>
              </w:rPr>
            </w:pPr>
            <w:bookmarkStart w:id="0" w:name="_Hlk113541775"/>
            <w:r w:rsidRPr="00265104">
              <w:rPr>
                <w:b/>
                <w:bCs/>
              </w:rPr>
              <w:t xml:space="preserve">Items to remember </w:t>
            </w:r>
          </w:p>
        </w:tc>
        <w:tc>
          <w:tcPr>
            <w:tcW w:w="941" w:type="dxa"/>
          </w:tcPr>
          <w:p w14:paraId="614A473A" w14:textId="77777777" w:rsidR="006C0B83" w:rsidRPr="00AF66BE" w:rsidRDefault="006C0B83" w:rsidP="0006462F">
            <w:pPr>
              <w:jc w:val="center"/>
              <w:rPr>
                <w:b/>
                <w:bCs/>
              </w:rPr>
            </w:pPr>
            <w:r w:rsidRPr="00AF66BE">
              <w:rPr>
                <w:b/>
                <w:bCs/>
              </w:rPr>
              <w:t>Tick</w:t>
            </w:r>
          </w:p>
        </w:tc>
      </w:tr>
      <w:tr w:rsidR="006C0B83" w14:paraId="696D8B11" w14:textId="77777777" w:rsidTr="0006462F">
        <w:tc>
          <w:tcPr>
            <w:tcW w:w="8075" w:type="dxa"/>
          </w:tcPr>
          <w:p w14:paraId="56E56132" w14:textId="77777777" w:rsidR="006C0B83" w:rsidRDefault="006C0B83" w:rsidP="0006462F">
            <w:r>
              <w:t>Dedicated hand-wash basin with adequate supply of hot water, liquid soap and hand drying facilities. This should be set up before any food preparation begins</w:t>
            </w:r>
          </w:p>
        </w:tc>
        <w:tc>
          <w:tcPr>
            <w:tcW w:w="941" w:type="dxa"/>
          </w:tcPr>
          <w:p w14:paraId="38CE9D19" w14:textId="77777777" w:rsidR="006C0B83" w:rsidRDefault="006C0B83" w:rsidP="0006462F"/>
        </w:tc>
      </w:tr>
      <w:tr w:rsidR="006C0B83" w14:paraId="236A375E" w14:textId="77777777" w:rsidTr="0006462F">
        <w:tc>
          <w:tcPr>
            <w:tcW w:w="8075" w:type="dxa"/>
          </w:tcPr>
          <w:p w14:paraId="2A7CF3DA" w14:textId="77777777" w:rsidR="006C0B83" w:rsidRDefault="006C0B83" w:rsidP="0006462F">
            <w:r>
              <w:t>Dedicated wash-up sink if utensils are to be washed on stand each day</w:t>
            </w:r>
          </w:p>
        </w:tc>
        <w:tc>
          <w:tcPr>
            <w:tcW w:w="941" w:type="dxa"/>
          </w:tcPr>
          <w:p w14:paraId="16A3C285" w14:textId="77777777" w:rsidR="006C0B83" w:rsidRDefault="006C0B83" w:rsidP="0006462F"/>
        </w:tc>
      </w:tr>
      <w:tr w:rsidR="006C0B83" w14:paraId="16FAA930" w14:textId="77777777" w:rsidTr="0006462F">
        <w:tc>
          <w:tcPr>
            <w:tcW w:w="8075" w:type="dxa"/>
          </w:tcPr>
          <w:p w14:paraId="3CDADCD4" w14:textId="77777777" w:rsidR="006C0B83" w:rsidRDefault="006C0B83" w:rsidP="0006462F">
            <w:r>
              <w:t xml:space="preserve">Disposable or </w:t>
            </w:r>
            <w:proofErr w:type="gramStart"/>
            <w:r>
              <w:t>sufficient quantities of</w:t>
            </w:r>
            <w:proofErr w:type="gramEnd"/>
            <w:r>
              <w:t xml:space="preserve"> utensils, if they are to be washed off-site each day</w:t>
            </w:r>
          </w:p>
        </w:tc>
        <w:tc>
          <w:tcPr>
            <w:tcW w:w="941" w:type="dxa"/>
          </w:tcPr>
          <w:p w14:paraId="33567607" w14:textId="77777777" w:rsidR="006C0B83" w:rsidRDefault="006C0B83" w:rsidP="0006462F"/>
        </w:tc>
      </w:tr>
      <w:tr w:rsidR="006C0B83" w14:paraId="7A0FE7E8" w14:textId="77777777" w:rsidTr="0006462F">
        <w:tc>
          <w:tcPr>
            <w:tcW w:w="8075" w:type="dxa"/>
          </w:tcPr>
          <w:p w14:paraId="29394438" w14:textId="77777777" w:rsidR="006C0B83" w:rsidRDefault="006C0B83" w:rsidP="0006462F">
            <w:r>
              <w:t>Digital probe thermometer with probe wipes</w:t>
            </w:r>
          </w:p>
        </w:tc>
        <w:tc>
          <w:tcPr>
            <w:tcW w:w="941" w:type="dxa"/>
          </w:tcPr>
          <w:p w14:paraId="14FAF183" w14:textId="77777777" w:rsidR="006C0B83" w:rsidRDefault="006C0B83" w:rsidP="0006462F"/>
        </w:tc>
      </w:tr>
      <w:tr w:rsidR="006C0B83" w14:paraId="425D5DC0" w14:textId="77777777" w:rsidTr="0006462F">
        <w:tc>
          <w:tcPr>
            <w:tcW w:w="8075" w:type="dxa"/>
          </w:tcPr>
          <w:p w14:paraId="4F40ADC2" w14:textId="77777777" w:rsidR="006C0B83" w:rsidRDefault="006C0B83" w:rsidP="0006462F">
            <w:r>
              <w:t>Temperature recording sheets for any fridge/freezer/cooking/hot holding temperatures</w:t>
            </w:r>
          </w:p>
        </w:tc>
        <w:tc>
          <w:tcPr>
            <w:tcW w:w="941" w:type="dxa"/>
          </w:tcPr>
          <w:p w14:paraId="7F56DCB1" w14:textId="77777777" w:rsidR="006C0B83" w:rsidRDefault="006C0B83" w:rsidP="0006462F"/>
        </w:tc>
      </w:tr>
      <w:tr w:rsidR="006C0B83" w14:paraId="5AC24BBC" w14:textId="77777777" w:rsidTr="0006462F">
        <w:tc>
          <w:tcPr>
            <w:tcW w:w="8075" w:type="dxa"/>
          </w:tcPr>
          <w:p w14:paraId="12E25483" w14:textId="77777777" w:rsidR="006C0B83" w:rsidRDefault="006C0B83" w:rsidP="0006462F">
            <w:r w:rsidRPr="0074506A">
              <w:t>Food safe disinfectant and/or sanitiser meeting BS EN: 1276/BS EN: 13697</w:t>
            </w:r>
          </w:p>
        </w:tc>
        <w:tc>
          <w:tcPr>
            <w:tcW w:w="941" w:type="dxa"/>
          </w:tcPr>
          <w:p w14:paraId="0FD0DD31" w14:textId="77777777" w:rsidR="006C0B83" w:rsidRDefault="006C0B83" w:rsidP="0006462F"/>
        </w:tc>
      </w:tr>
      <w:tr w:rsidR="006C0B83" w14:paraId="4059A1F2" w14:textId="77777777" w:rsidTr="0006462F">
        <w:tc>
          <w:tcPr>
            <w:tcW w:w="8075" w:type="dxa"/>
          </w:tcPr>
          <w:p w14:paraId="6AE04835" w14:textId="77777777" w:rsidR="006C0B83" w:rsidRDefault="006C0B83" w:rsidP="0006462F">
            <w:r w:rsidRPr="00BF5187">
              <w:t xml:space="preserve">Allergen information for all foods/drinks being sampled including any sauces or condiments and cooking oils. </w:t>
            </w:r>
            <w:r>
              <w:t>(</w:t>
            </w:r>
            <w:r w:rsidRPr="00BF5187">
              <w:t>Cross contamination should be considered</w:t>
            </w:r>
            <w:r>
              <w:t>)</w:t>
            </w:r>
          </w:p>
        </w:tc>
        <w:tc>
          <w:tcPr>
            <w:tcW w:w="941" w:type="dxa"/>
          </w:tcPr>
          <w:p w14:paraId="393EFC16" w14:textId="77777777" w:rsidR="006C0B83" w:rsidRDefault="006C0B83" w:rsidP="0006462F"/>
        </w:tc>
      </w:tr>
      <w:tr w:rsidR="006C0B83" w14:paraId="7E38B1C5" w14:textId="77777777" w:rsidTr="0006462F">
        <w:tc>
          <w:tcPr>
            <w:tcW w:w="8075" w:type="dxa"/>
          </w:tcPr>
          <w:p w14:paraId="49A6A578" w14:textId="77777777" w:rsidR="006C0B83" w:rsidRDefault="006C0B83" w:rsidP="0006462F">
            <w:r w:rsidRPr="00BF5187">
              <w:t xml:space="preserve">Staff should be trained in food hygiene </w:t>
            </w:r>
            <w:proofErr w:type="gramStart"/>
            <w:r w:rsidRPr="00BF5187">
              <w:t>e.g.</w:t>
            </w:r>
            <w:proofErr w:type="gramEnd"/>
            <w:r w:rsidRPr="00BF5187">
              <w:t xml:space="preserve"> Level 2 or above or alternatively briefed on the essentials for their role e.g. Hand washing, allergens, cleaning, food storage requirements, pests, sickness procedures (including staying off work until 48 hours symptom free), control of raw/ready to eat foods, temperature control etc. We recommend this </w:t>
            </w:r>
            <w:r>
              <w:t>is</w:t>
            </w:r>
            <w:r w:rsidRPr="00BF5187">
              <w:t xml:space="preserve"> documented and signed.</w:t>
            </w:r>
          </w:p>
        </w:tc>
        <w:tc>
          <w:tcPr>
            <w:tcW w:w="941" w:type="dxa"/>
          </w:tcPr>
          <w:p w14:paraId="1926BD4B" w14:textId="77777777" w:rsidR="006C0B83" w:rsidRDefault="006C0B83" w:rsidP="0006462F"/>
        </w:tc>
      </w:tr>
      <w:bookmarkEnd w:id="0"/>
    </w:tbl>
    <w:p w14:paraId="6008D65D" w14:textId="77777777" w:rsidR="006C0B83" w:rsidRDefault="006C0B83" w:rsidP="006C0B83"/>
    <w:p w14:paraId="4E149B1B" w14:textId="77777777" w:rsidR="006C0B83" w:rsidRDefault="006C0B83" w:rsidP="006C0B83"/>
    <w:p w14:paraId="078F352D" w14:textId="77777777" w:rsidR="006C0B83" w:rsidRPr="000477B7" w:rsidRDefault="006C0B83" w:rsidP="006C0B83">
      <w:pPr>
        <w:rPr>
          <w:b/>
          <w:bCs/>
          <w:sz w:val="24"/>
          <w:szCs w:val="24"/>
        </w:rPr>
      </w:pPr>
      <w:r w:rsidRPr="000477B7">
        <w:rPr>
          <w:b/>
          <w:bCs/>
          <w:sz w:val="24"/>
          <w:szCs w:val="24"/>
        </w:rPr>
        <w:t>High-Risk</w:t>
      </w:r>
    </w:p>
    <w:p w14:paraId="1BF7B513" w14:textId="77777777" w:rsidR="006C0B83" w:rsidRPr="00AF66BE" w:rsidRDefault="006C0B83" w:rsidP="006C0B83">
      <w:pPr>
        <w:jc w:val="both"/>
      </w:pPr>
      <w:r>
        <w:t>Cooking with raw ingredients or altering the food’s properties with temperature e.g. rice, fish, shellfish, eggs, meat (including burgers and sausages), poultry, plant-based foods, pulses and grains.</w:t>
      </w:r>
    </w:p>
    <w:tbl>
      <w:tblPr>
        <w:tblStyle w:val="TableGrid"/>
        <w:tblW w:w="0" w:type="auto"/>
        <w:tblLook w:val="04A0" w:firstRow="1" w:lastRow="0" w:firstColumn="1" w:lastColumn="0" w:noHBand="0" w:noVBand="1"/>
      </w:tblPr>
      <w:tblGrid>
        <w:gridCol w:w="8075"/>
        <w:gridCol w:w="941"/>
      </w:tblGrid>
      <w:tr w:rsidR="006C0B83" w14:paraId="1092F7CF" w14:textId="77777777" w:rsidTr="0006462F">
        <w:tc>
          <w:tcPr>
            <w:tcW w:w="8075" w:type="dxa"/>
          </w:tcPr>
          <w:p w14:paraId="08EA5673" w14:textId="77777777" w:rsidR="006C0B83" w:rsidRPr="00265104" w:rsidRDefault="006C0B83" w:rsidP="0006462F">
            <w:pPr>
              <w:rPr>
                <w:b/>
                <w:bCs/>
              </w:rPr>
            </w:pPr>
            <w:r w:rsidRPr="00265104">
              <w:rPr>
                <w:b/>
                <w:bCs/>
              </w:rPr>
              <w:t xml:space="preserve">Items to remember </w:t>
            </w:r>
          </w:p>
        </w:tc>
        <w:tc>
          <w:tcPr>
            <w:tcW w:w="941" w:type="dxa"/>
          </w:tcPr>
          <w:p w14:paraId="21032444" w14:textId="77777777" w:rsidR="006C0B83" w:rsidRPr="00AF66BE" w:rsidRDefault="006C0B83" w:rsidP="0006462F">
            <w:pPr>
              <w:jc w:val="center"/>
              <w:rPr>
                <w:b/>
                <w:bCs/>
              </w:rPr>
            </w:pPr>
            <w:r w:rsidRPr="00AF66BE">
              <w:rPr>
                <w:b/>
                <w:bCs/>
              </w:rPr>
              <w:t>Tick</w:t>
            </w:r>
          </w:p>
        </w:tc>
      </w:tr>
      <w:tr w:rsidR="006C0B83" w14:paraId="205C737D" w14:textId="77777777" w:rsidTr="0006462F">
        <w:tc>
          <w:tcPr>
            <w:tcW w:w="8075" w:type="dxa"/>
          </w:tcPr>
          <w:p w14:paraId="71396F07" w14:textId="77777777" w:rsidR="006C0B83" w:rsidRDefault="006C0B83" w:rsidP="0006462F">
            <w:r>
              <w:t>Dedicated hand-wash basin with adequate supply of hot water, liquid soap and hand drying facilities. This should be set up before any food preparation begins</w:t>
            </w:r>
          </w:p>
        </w:tc>
        <w:tc>
          <w:tcPr>
            <w:tcW w:w="941" w:type="dxa"/>
          </w:tcPr>
          <w:p w14:paraId="43654D8A" w14:textId="77777777" w:rsidR="006C0B83" w:rsidRDefault="006C0B83" w:rsidP="0006462F"/>
        </w:tc>
      </w:tr>
      <w:tr w:rsidR="006C0B83" w14:paraId="6450E3F7" w14:textId="77777777" w:rsidTr="0006462F">
        <w:tc>
          <w:tcPr>
            <w:tcW w:w="8075" w:type="dxa"/>
          </w:tcPr>
          <w:p w14:paraId="15C73969" w14:textId="77777777" w:rsidR="006C0B83" w:rsidRDefault="006C0B83" w:rsidP="0006462F">
            <w:r>
              <w:t>Dedicated wash-up sink if utensils are to be washed on the stand each day</w:t>
            </w:r>
          </w:p>
        </w:tc>
        <w:tc>
          <w:tcPr>
            <w:tcW w:w="941" w:type="dxa"/>
          </w:tcPr>
          <w:p w14:paraId="16F23110" w14:textId="77777777" w:rsidR="006C0B83" w:rsidRDefault="006C0B83" w:rsidP="0006462F"/>
        </w:tc>
      </w:tr>
      <w:tr w:rsidR="006C0B83" w14:paraId="606BD4C2" w14:textId="77777777" w:rsidTr="0006462F">
        <w:tc>
          <w:tcPr>
            <w:tcW w:w="8075" w:type="dxa"/>
          </w:tcPr>
          <w:p w14:paraId="0E465A91" w14:textId="77777777" w:rsidR="006C0B83" w:rsidRDefault="006C0B83" w:rsidP="0006462F">
            <w:r>
              <w:t>Disposable or sufficient quantities of utensils, if they are to be washed off-site each day</w:t>
            </w:r>
          </w:p>
        </w:tc>
        <w:tc>
          <w:tcPr>
            <w:tcW w:w="941" w:type="dxa"/>
          </w:tcPr>
          <w:p w14:paraId="3C0D2C5E" w14:textId="77777777" w:rsidR="006C0B83" w:rsidRDefault="006C0B83" w:rsidP="0006462F"/>
        </w:tc>
      </w:tr>
      <w:tr w:rsidR="006C0B83" w14:paraId="67C460AF" w14:textId="77777777" w:rsidTr="0006462F">
        <w:tc>
          <w:tcPr>
            <w:tcW w:w="8075" w:type="dxa"/>
          </w:tcPr>
          <w:p w14:paraId="23CE02AD" w14:textId="77777777" w:rsidR="006C0B83" w:rsidRDefault="006C0B83" w:rsidP="0006462F">
            <w:r>
              <w:lastRenderedPageBreak/>
              <w:t xml:space="preserve">Separate, dedicated utensils for raw and cooked products including tongs and chopping boards  </w:t>
            </w:r>
          </w:p>
        </w:tc>
        <w:tc>
          <w:tcPr>
            <w:tcW w:w="941" w:type="dxa"/>
          </w:tcPr>
          <w:p w14:paraId="3149656A" w14:textId="77777777" w:rsidR="006C0B83" w:rsidRDefault="006C0B83" w:rsidP="0006462F"/>
        </w:tc>
      </w:tr>
      <w:tr w:rsidR="006C0B83" w14:paraId="716AF411" w14:textId="77777777" w:rsidTr="0006462F">
        <w:tc>
          <w:tcPr>
            <w:tcW w:w="8075" w:type="dxa"/>
          </w:tcPr>
          <w:p w14:paraId="73BDF6DB" w14:textId="77777777" w:rsidR="006C0B83" w:rsidRDefault="006C0B83" w:rsidP="0006462F">
            <w:r>
              <w:t>Separate sink for food washing/preparation, if not pre-prepared</w:t>
            </w:r>
          </w:p>
        </w:tc>
        <w:tc>
          <w:tcPr>
            <w:tcW w:w="941" w:type="dxa"/>
          </w:tcPr>
          <w:p w14:paraId="59B4353B" w14:textId="77777777" w:rsidR="006C0B83" w:rsidRDefault="006C0B83" w:rsidP="0006462F"/>
        </w:tc>
      </w:tr>
      <w:tr w:rsidR="006C0B83" w14:paraId="6169EB93" w14:textId="77777777" w:rsidTr="0006462F">
        <w:tc>
          <w:tcPr>
            <w:tcW w:w="8075" w:type="dxa"/>
          </w:tcPr>
          <w:p w14:paraId="2F223600" w14:textId="77777777" w:rsidR="006C0B83" w:rsidRDefault="006C0B83" w:rsidP="0006462F">
            <w:r>
              <w:t>Digital probe thermometer with probe wipes</w:t>
            </w:r>
          </w:p>
        </w:tc>
        <w:tc>
          <w:tcPr>
            <w:tcW w:w="941" w:type="dxa"/>
          </w:tcPr>
          <w:p w14:paraId="4E7E615C" w14:textId="77777777" w:rsidR="006C0B83" w:rsidRDefault="006C0B83" w:rsidP="0006462F"/>
        </w:tc>
      </w:tr>
      <w:tr w:rsidR="006C0B83" w14:paraId="61AF4386" w14:textId="77777777" w:rsidTr="0006462F">
        <w:tc>
          <w:tcPr>
            <w:tcW w:w="8075" w:type="dxa"/>
          </w:tcPr>
          <w:p w14:paraId="377F487C" w14:textId="77777777" w:rsidR="006C0B83" w:rsidRDefault="006C0B83" w:rsidP="0006462F">
            <w:r>
              <w:t>Temperature recording sheets for any fridge/freezer/cooking/hot holding temperatures</w:t>
            </w:r>
          </w:p>
        </w:tc>
        <w:tc>
          <w:tcPr>
            <w:tcW w:w="941" w:type="dxa"/>
          </w:tcPr>
          <w:p w14:paraId="290C8DF9" w14:textId="77777777" w:rsidR="006C0B83" w:rsidRDefault="006C0B83" w:rsidP="0006462F"/>
        </w:tc>
      </w:tr>
      <w:tr w:rsidR="006C0B83" w14:paraId="356CB61D" w14:textId="77777777" w:rsidTr="0006462F">
        <w:tc>
          <w:tcPr>
            <w:tcW w:w="8075" w:type="dxa"/>
          </w:tcPr>
          <w:p w14:paraId="1BBE631E" w14:textId="77777777" w:rsidR="006C0B83" w:rsidRDefault="006C0B83" w:rsidP="0006462F">
            <w:r>
              <w:t xml:space="preserve">Sufficient storage to ensure that any raw/ready to eat products can be safely stored without contamination </w:t>
            </w:r>
            <w:proofErr w:type="gramStart"/>
            <w:r>
              <w:t>e.g.</w:t>
            </w:r>
            <w:proofErr w:type="gramEnd"/>
            <w:r>
              <w:t xml:space="preserve"> raw below ready to eat</w:t>
            </w:r>
          </w:p>
        </w:tc>
        <w:tc>
          <w:tcPr>
            <w:tcW w:w="941" w:type="dxa"/>
          </w:tcPr>
          <w:p w14:paraId="71ED3DE7" w14:textId="77777777" w:rsidR="006C0B83" w:rsidRDefault="006C0B83" w:rsidP="0006462F"/>
        </w:tc>
      </w:tr>
      <w:tr w:rsidR="006C0B83" w14:paraId="02BF392F" w14:textId="77777777" w:rsidTr="0006462F">
        <w:tc>
          <w:tcPr>
            <w:tcW w:w="8075" w:type="dxa"/>
          </w:tcPr>
          <w:p w14:paraId="26933F4B" w14:textId="77777777" w:rsidR="006C0B83" w:rsidRDefault="006C0B83" w:rsidP="0006462F">
            <w:r>
              <w:t xml:space="preserve">Food safe disinfectant and/or sanitiser meeting BS EN: 1276/BS EN: 13697 </w:t>
            </w:r>
          </w:p>
        </w:tc>
        <w:tc>
          <w:tcPr>
            <w:tcW w:w="941" w:type="dxa"/>
          </w:tcPr>
          <w:p w14:paraId="79EFE208" w14:textId="77777777" w:rsidR="006C0B83" w:rsidRDefault="006C0B83" w:rsidP="0006462F"/>
        </w:tc>
      </w:tr>
      <w:tr w:rsidR="006C0B83" w14:paraId="3736C82E" w14:textId="77777777" w:rsidTr="0006462F">
        <w:tc>
          <w:tcPr>
            <w:tcW w:w="8075" w:type="dxa"/>
          </w:tcPr>
          <w:p w14:paraId="7D015F51" w14:textId="77777777" w:rsidR="006C0B83" w:rsidRDefault="006C0B83" w:rsidP="0006462F">
            <w:r>
              <w:t>Allergen information for all foods/drinks being sampled including any sauces or condiments and cooking oils. (Cross contamination should be considered)</w:t>
            </w:r>
          </w:p>
        </w:tc>
        <w:tc>
          <w:tcPr>
            <w:tcW w:w="941" w:type="dxa"/>
          </w:tcPr>
          <w:p w14:paraId="38B29CD1" w14:textId="77777777" w:rsidR="006C0B83" w:rsidRDefault="006C0B83" w:rsidP="0006462F"/>
        </w:tc>
      </w:tr>
      <w:tr w:rsidR="006C0B83" w14:paraId="1B5B6841" w14:textId="77777777" w:rsidTr="0006462F">
        <w:tc>
          <w:tcPr>
            <w:tcW w:w="8075" w:type="dxa"/>
          </w:tcPr>
          <w:p w14:paraId="4BAA66C6" w14:textId="77777777" w:rsidR="006C0B83" w:rsidRDefault="006C0B83" w:rsidP="0006462F">
            <w:r>
              <w:t xml:space="preserve">Staff should be trained in food hygiene </w:t>
            </w:r>
            <w:proofErr w:type="gramStart"/>
            <w:r>
              <w:t>e.g.</w:t>
            </w:r>
            <w:proofErr w:type="gramEnd"/>
            <w:r>
              <w:t xml:space="preserve"> Level 2 or above or alternatively briefed on the essentials for their role e.g. Hand washing, allergens, cleaning, food storage requirements, pests, sickness procedures (including staying off work until 48 hours symptom free), control of raw/ready to eat foods, temperature control etc. We recommend this be documented and signed.</w:t>
            </w:r>
          </w:p>
        </w:tc>
        <w:tc>
          <w:tcPr>
            <w:tcW w:w="941" w:type="dxa"/>
          </w:tcPr>
          <w:p w14:paraId="6335A081" w14:textId="77777777" w:rsidR="006C0B83" w:rsidRDefault="006C0B83" w:rsidP="0006462F"/>
        </w:tc>
      </w:tr>
    </w:tbl>
    <w:p w14:paraId="1CBB54F7" w14:textId="77777777" w:rsidR="006C0B83" w:rsidRDefault="006C0B83" w:rsidP="006C0B83"/>
    <w:p w14:paraId="0F935CFC" w14:textId="4AF33C94" w:rsidR="00BE4FB9" w:rsidRPr="00BE4FB9" w:rsidRDefault="00BE4FB9" w:rsidP="0063605F">
      <w:pPr>
        <w:shd w:val="clear" w:color="auto" w:fill="FFFFFF"/>
        <w:spacing w:after="100" w:afterAutospacing="1" w:line="240" w:lineRule="auto"/>
        <w:rPr>
          <w:rFonts w:ascii="Segoe UI" w:eastAsia="Times New Roman" w:hAnsi="Segoe UI" w:cs="Segoe UI"/>
          <w:color w:val="212529"/>
          <w:sz w:val="24"/>
          <w:szCs w:val="24"/>
          <w:lang w:eastAsia="en-GB"/>
        </w:rPr>
      </w:pPr>
      <w:r w:rsidRPr="00BE4FB9">
        <w:rPr>
          <w:rFonts w:ascii="Segoe UI" w:eastAsia="Times New Roman" w:hAnsi="Segoe UI" w:cs="Segoe UI"/>
          <w:color w:val="212529"/>
          <w:sz w:val="24"/>
          <w:szCs w:val="24"/>
          <w:lang w:eastAsia="en-GB"/>
        </w:rPr>
        <w:t xml:space="preserve">Floor washing equipment and facilities must be totally separate from equipment provided as above, </w:t>
      </w:r>
      <w:proofErr w:type="gramStart"/>
      <w:r w:rsidRPr="00BE4FB9">
        <w:rPr>
          <w:rFonts w:ascii="Segoe UI" w:eastAsia="Times New Roman" w:hAnsi="Segoe UI" w:cs="Segoe UI"/>
          <w:color w:val="212529"/>
          <w:sz w:val="24"/>
          <w:szCs w:val="24"/>
          <w:lang w:eastAsia="en-GB"/>
        </w:rPr>
        <w:t>i.e.</w:t>
      </w:r>
      <w:proofErr w:type="gramEnd"/>
      <w:r w:rsidRPr="00BE4FB9">
        <w:rPr>
          <w:rFonts w:ascii="Segoe UI" w:eastAsia="Times New Roman" w:hAnsi="Segoe UI" w:cs="Segoe UI"/>
          <w:color w:val="212529"/>
          <w:sz w:val="24"/>
          <w:szCs w:val="24"/>
          <w:lang w:eastAsia="en-GB"/>
        </w:rPr>
        <w:t xml:space="preserve"> waste water must be disposed of separately from the stand units.</w:t>
      </w:r>
      <w:r w:rsidRPr="00BE4FB9">
        <w:rPr>
          <w:rFonts w:ascii="Segoe UI" w:eastAsia="Times New Roman" w:hAnsi="Segoe UI" w:cs="Segoe UI"/>
          <w:color w:val="212529"/>
          <w:sz w:val="24"/>
          <w:szCs w:val="24"/>
          <w:lang w:eastAsia="en-GB"/>
        </w:rPr>
        <w:br/>
      </w:r>
      <w:r w:rsidRPr="00BE4FB9">
        <w:rPr>
          <w:rFonts w:ascii="Segoe UI" w:eastAsia="Times New Roman" w:hAnsi="Segoe UI" w:cs="Segoe UI"/>
          <w:color w:val="212529"/>
          <w:sz w:val="24"/>
          <w:szCs w:val="24"/>
          <w:lang w:eastAsia="en-GB"/>
        </w:rPr>
        <w:br/>
        <w:t xml:space="preserve">Exhibitors are reminded that it is their responsibility to comply with legal requirements relating to food safety. Failure to comply could result in action by the Environmental Health Department including imposition of restrictions on food preparation/sale and prosecution. The Organisers reserve the right to require an Exhibitor to cease any practice felt to present a risk to food safety, </w:t>
      </w:r>
      <w:proofErr w:type="gramStart"/>
      <w:r w:rsidRPr="00BE4FB9">
        <w:rPr>
          <w:rFonts w:ascii="Segoe UI" w:eastAsia="Times New Roman" w:hAnsi="Segoe UI" w:cs="Segoe UI"/>
          <w:color w:val="212529"/>
          <w:sz w:val="24"/>
          <w:szCs w:val="24"/>
          <w:lang w:eastAsia="en-GB"/>
        </w:rPr>
        <w:t>whether or not</w:t>
      </w:r>
      <w:proofErr w:type="gramEnd"/>
      <w:r w:rsidRPr="00BE4FB9">
        <w:rPr>
          <w:rFonts w:ascii="Segoe UI" w:eastAsia="Times New Roman" w:hAnsi="Segoe UI" w:cs="Segoe UI"/>
          <w:color w:val="212529"/>
          <w:sz w:val="24"/>
          <w:szCs w:val="24"/>
          <w:lang w:eastAsia="en-GB"/>
        </w:rPr>
        <w:t xml:space="preserve"> that practice is subject to action by the Environmental Health Department.</w:t>
      </w:r>
    </w:p>
    <w:sectPr w:rsidR="00BE4FB9" w:rsidRPr="00BE4FB9" w:rsidSect="00BE4F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B6B"/>
    <w:multiLevelType w:val="multilevel"/>
    <w:tmpl w:val="33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0483"/>
    <w:multiLevelType w:val="multilevel"/>
    <w:tmpl w:val="719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A7130"/>
    <w:multiLevelType w:val="multilevel"/>
    <w:tmpl w:val="0E0E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02CF4"/>
    <w:multiLevelType w:val="hybridMultilevel"/>
    <w:tmpl w:val="DF901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614AF"/>
    <w:multiLevelType w:val="multilevel"/>
    <w:tmpl w:val="87D09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6035D"/>
    <w:multiLevelType w:val="multilevel"/>
    <w:tmpl w:val="7DB4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87E31"/>
    <w:multiLevelType w:val="multilevel"/>
    <w:tmpl w:val="DACA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F2451"/>
    <w:multiLevelType w:val="multilevel"/>
    <w:tmpl w:val="CE6E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428E9"/>
    <w:multiLevelType w:val="multilevel"/>
    <w:tmpl w:val="59B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83A45"/>
    <w:multiLevelType w:val="multilevel"/>
    <w:tmpl w:val="546C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614E9"/>
    <w:multiLevelType w:val="multilevel"/>
    <w:tmpl w:val="B6E0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60932"/>
    <w:multiLevelType w:val="multilevel"/>
    <w:tmpl w:val="F7B4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844311">
    <w:abstractNumId w:val="9"/>
  </w:num>
  <w:num w:numId="2" w16cid:durableId="1054085175">
    <w:abstractNumId w:val="4"/>
  </w:num>
  <w:num w:numId="3" w16cid:durableId="1407537013">
    <w:abstractNumId w:val="6"/>
  </w:num>
  <w:num w:numId="4" w16cid:durableId="2132360751">
    <w:abstractNumId w:val="1"/>
  </w:num>
  <w:num w:numId="5" w16cid:durableId="1274899558">
    <w:abstractNumId w:val="8"/>
  </w:num>
  <w:num w:numId="6" w16cid:durableId="1085421658">
    <w:abstractNumId w:val="2"/>
  </w:num>
  <w:num w:numId="7" w16cid:durableId="496961626">
    <w:abstractNumId w:val="7"/>
  </w:num>
  <w:num w:numId="8" w16cid:durableId="417096372">
    <w:abstractNumId w:val="11"/>
  </w:num>
  <w:num w:numId="9" w16cid:durableId="1902934750">
    <w:abstractNumId w:val="0"/>
  </w:num>
  <w:num w:numId="10" w16cid:durableId="1956936030">
    <w:abstractNumId w:val="5"/>
  </w:num>
  <w:num w:numId="11" w16cid:durableId="1598782427">
    <w:abstractNumId w:val="10"/>
  </w:num>
  <w:num w:numId="12" w16cid:durableId="167610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B9"/>
    <w:rsid w:val="00005BC1"/>
    <w:rsid w:val="00024044"/>
    <w:rsid w:val="000555F9"/>
    <w:rsid w:val="00074F5F"/>
    <w:rsid w:val="000954D4"/>
    <w:rsid w:val="000B57D8"/>
    <w:rsid w:val="000D647C"/>
    <w:rsid w:val="00130AC8"/>
    <w:rsid w:val="001446CC"/>
    <w:rsid w:val="0014534B"/>
    <w:rsid w:val="0017120D"/>
    <w:rsid w:val="001833FB"/>
    <w:rsid w:val="001C1D1D"/>
    <w:rsid w:val="001C5C84"/>
    <w:rsid w:val="00203B72"/>
    <w:rsid w:val="00220F3B"/>
    <w:rsid w:val="00231D44"/>
    <w:rsid w:val="00247375"/>
    <w:rsid w:val="00260813"/>
    <w:rsid w:val="00277C79"/>
    <w:rsid w:val="00286D79"/>
    <w:rsid w:val="002F56E2"/>
    <w:rsid w:val="00306C7C"/>
    <w:rsid w:val="003251B8"/>
    <w:rsid w:val="00363431"/>
    <w:rsid w:val="00370D40"/>
    <w:rsid w:val="00381060"/>
    <w:rsid w:val="00384328"/>
    <w:rsid w:val="003C2CFE"/>
    <w:rsid w:val="003C3A80"/>
    <w:rsid w:val="003D79D3"/>
    <w:rsid w:val="003E477E"/>
    <w:rsid w:val="00452E21"/>
    <w:rsid w:val="0048774B"/>
    <w:rsid w:val="00496C34"/>
    <w:rsid w:val="004D49D3"/>
    <w:rsid w:val="00543D88"/>
    <w:rsid w:val="00566B62"/>
    <w:rsid w:val="00591D3A"/>
    <w:rsid w:val="005C6398"/>
    <w:rsid w:val="0063605F"/>
    <w:rsid w:val="006539DE"/>
    <w:rsid w:val="00673E96"/>
    <w:rsid w:val="006B6914"/>
    <w:rsid w:val="006C0B83"/>
    <w:rsid w:val="006C3793"/>
    <w:rsid w:val="006D541A"/>
    <w:rsid w:val="0070429B"/>
    <w:rsid w:val="0072097A"/>
    <w:rsid w:val="007521C7"/>
    <w:rsid w:val="007666F7"/>
    <w:rsid w:val="007A0C42"/>
    <w:rsid w:val="007E0FC3"/>
    <w:rsid w:val="00810952"/>
    <w:rsid w:val="00833B95"/>
    <w:rsid w:val="008577CD"/>
    <w:rsid w:val="008A1CB9"/>
    <w:rsid w:val="008F5A52"/>
    <w:rsid w:val="00906672"/>
    <w:rsid w:val="00915128"/>
    <w:rsid w:val="00923E58"/>
    <w:rsid w:val="00930F6F"/>
    <w:rsid w:val="009616B9"/>
    <w:rsid w:val="00971476"/>
    <w:rsid w:val="00996F95"/>
    <w:rsid w:val="009A267D"/>
    <w:rsid w:val="009B2F89"/>
    <w:rsid w:val="00A207D9"/>
    <w:rsid w:val="00A94BBF"/>
    <w:rsid w:val="00A96D58"/>
    <w:rsid w:val="00AB4E1A"/>
    <w:rsid w:val="00AD5141"/>
    <w:rsid w:val="00AE741C"/>
    <w:rsid w:val="00AF34B5"/>
    <w:rsid w:val="00B137CE"/>
    <w:rsid w:val="00B14411"/>
    <w:rsid w:val="00B1494B"/>
    <w:rsid w:val="00B2458F"/>
    <w:rsid w:val="00B35A46"/>
    <w:rsid w:val="00B35FB5"/>
    <w:rsid w:val="00B57276"/>
    <w:rsid w:val="00B66F8E"/>
    <w:rsid w:val="00B83719"/>
    <w:rsid w:val="00B85303"/>
    <w:rsid w:val="00BA74DE"/>
    <w:rsid w:val="00BE4FB9"/>
    <w:rsid w:val="00C071DE"/>
    <w:rsid w:val="00C10E89"/>
    <w:rsid w:val="00C32659"/>
    <w:rsid w:val="00C83656"/>
    <w:rsid w:val="00C925CB"/>
    <w:rsid w:val="00CA0B4C"/>
    <w:rsid w:val="00CC1ACF"/>
    <w:rsid w:val="00CD04BC"/>
    <w:rsid w:val="00CD4934"/>
    <w:rsid w:val="00CE60D2"/>
    <w:rsid w:val="00CF5761"/>
    <w:rsid w:val="00D51493"/>
    <w:rsid w:val="00D54A10"/>
    <w:rsid w:val="00E053B4"/>
    <w:rsid w:val="00E4012C"/>
    <w:rsid w:val="00E67D0A"/>
    <w:rsid w:val="00EF2B44"/>
    <w:rsid w:val="00F33F15"/>
    <w:rsid w:val="00F94E34"/>
    <w:rsid w:val="00FB361A"/>
    <w:rsid w:val="00FC1B3B"/>
    <w:rsid w:val="00FF436B"/>
    <w:rsid w:val="00FF5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00BB"/>
  <w15:chartTrackingRefBased/>
  <w15:docId w15:val="{D8DAEE96-7F9C-478C-94C8-BAFFC89E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4FB9"/>
    <w:rPr>
      <w:b/>
      <w:bCs/>
    </w:rPr>
  </w:style>
  <w:style w:type="character" w:styleId="Hyperlink">
    <w:name w:val="Hyperlink"/>
    <w:basedOn w:val="DefaultParagraphFont"/>
    <w:uiPriority w:val="99"/>
    <w:unhideWhenUsed/>
    <w:rsid w:val="00BE4FB9"/>
    <w:rPr>
      <w:color w:val="0000FF"/>
      <w:u w:val="single"/>
    </w:rPr>
  </w:style>
  <w:style w:type="character" w:styleId="CommentReference">
    <w:name w:val="annotation reference"/>
    <w:basedOn w:val="DefaultParagraphFont"/>
    <w:uiPriority w:val="99"/>
    <w:semiHidden/>
    <w:unhideWhenUsed/>
    <w:rsid w:val="00996F95"/>
    <w:rPr>
      <w:sz w:val="16"/>
      <w:szCs w:val="16"/>
    </w:rPr>
  </w:style>
  <w:style w:type="paragraph" w:styleId="CommentText">
    <w:name w:val="annotation text"/>
    <w:basedOn w:val="Normal"/>
    <w:link w:val="CommentTextChar"/>
    <w:uiPriority w:val="99"/>
    <w:semiHidden/>
    <w:unhideWhenUsed/>
    <w:rsid w:val="00996F95"/>
    <w:pPr>
      <w:spacing w:line="240" w:lineRule="auto"/>
    </w:pPr>
    <w:rPr>
      <w:sz w:val="20"/>
      <w:szCs w:val="20"/>
    </w:rPr>
  </w:style>
  <w:style w:type="character" w:customStyle="1" w:styleId="CommentTextChar">
    <w:name w:val="Comment Text Char"/>
    <w:basedOn w:val="DefaultParagraphFont"/>
    <w:link w:val="CommentText"/>
    <w:uiPriority w:val="99"/>
    <w:semiHidden/>
    <w:rsid w:val="00996F95"/>
    <w:rPr>
      <w:sz w:val="20"/>
      <w:szCs w:val="20"/>
    </w:rPr>
  </w:style>
  <w:style w:type="paragraph" w:styleId="CommentSubject">
    <w:name w:val="annotation subject"/>
    <w:basedOn w:val="CommentText"/>
    <w:next w:val="CommentText"/>
    <w:link w:val="CommentSubjectChar"/>
    <w:uiPriority w:val="99"/>
    <w:semiHidden/>
    <w:unhideWhenUsed/>
    <w:rsid w:val="00996F95"/>
    <w:rPr>
      <w:b/>
      <w:bCs/>
    </w:rPr>
  </w:style>
  <w:style w:type="character" w:customStyle="1" w:styleId="CommentSubjectChar">
    <w:name w:val="Comment Subject Char"/>
    <w:basedOn w:val="CommentTextChar"/>
    <w:link w:val="CommentSubject"/>
    <w:uiPriority w:val="99"/>
    <w:semiHidden/>
    <w:rsid w:val="00996F95"/>
    <w:rPr>
      <w:b/>
      <w:bCs/>
      <w:sz w:val="20"/>
      <w:szCs w:val="20"/>
    </w:rPr>
  </w:style>
  <w:style w:type="paragraph" w:styleId="ListParagraph">
    <w:name w:val="List Paragraph"/>
    <w:basedOn w:val="Normal"/>
    <w:uiPriority w:val="34"/>
    <w:qFormat/>
    <w:rsid w:val="001C1D1D"/>
    <w:pPr>
      <w:spacing w:after="0" w:line="240" w:lineRule="auto"/>
      <w:ind w:left="720"/>
      <w:contextualSpacing/>
    </w:pPr>
    <w:rPr>
      <w:rFonts w:ascii="Arial" w:eastAsia="Times New Roman" w:hAnsi="Arial" w:cs="Times New Roman"/>
      <w:sz w:val="20"/>
      <w:szCs w:val="20"/>
    </w:rPr>
  </w:style>
  <w:style w:type="table" w:styleId="TableGrid">
    <w:name w:val="Table Grid"/>
    <w:basedOn w:val="TableNormal"/>
    <w:uiPriority w:val="39"/>
    <w:rsid w:val="001C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390722">
      <w:bodyDiv w:val="1"/>
      <w:marLeft w:val="0"/>
      <w:marRight w:val="0"/>
      <w:marTop w:val="0"/>
      <w:marBottom w:val="0"/>
      <w:divBdr>
        <w:top w:val="none" w:sz="0" w:space="0" w:color="auto"/>
        <w:left w:val="none" w:sz="0" w:space="0" w:color="auto"/>
        <w:bottom w:val="none" w:sz="0" w:space="0" w:color="auto"/>
        <w:right w:val="none" w:sz="0" w:space="0" w:color="auto"/>
      </w:divBdr>
      <w:divsChild>
        <w:div w:id="1432819429">
          <w:marLeft w:val="0"/>
          <w:marRight w:val="0"/>
          <w:marTop w:val="0"/>
          <w:marBottom w:val="0"/>
          <w:divBdr>
            <w:top w:val="none" w:sz="0" w:space="0" w:color="auto"/>
            <w:left w:val="none" w:sz="0" w:space="0" w:color="auto"/>
            <w:bottom w:val="none" w:sz="0" w:space="0" w:color="auto"/>
            <w:right w:val="none" w:sz="0" w:space="0" w:color="auto"/>
          </w:divBdr>
        </w:div>
        <w:div w:id="1765567480">
          <w:marLeft w:val="0"/>
          <w:marRight w:val="0"/>
          <w:marTop w:val="0"/>
          <w:marBottom w:val="0"/>
          <w:divBdr>
            <w:top w:val="none" w:sz="0" w:space="0" w:color="auto"/>
            <w:left w:val="none" w:sz="0" w:space="0" w:color="auto"/>
            <w:bottom w:val="none" w:sz="0" w:space="0" w:color="auto"/>
            <w:right w:val="none" w:sz="0" w:space="0" w:color="auto"/>
          </w:divBdr>
        </w:div>
        <w:div w:id="812332255">
          <w:marLeft w:val="0"/>
          <w:marRight w:val="0"/>
          <w:marTop w:val="0"/>
          <w:marBottom w:val="0"/>
          <w:divBdr>
            <w:top w:val="none" w:sz="0" w:space="0" w:color="auto"/>
            <w:left w:val="none" w:sz="0" w:space="0" w:color="auto"/>
            <w:bottom w:val="none" w:sz="0" w:space="0" w:color="auto"/>
            <w:right w:val="none" w:sz="0" w:space="0" w:color="auto"/>
          </w:divBdr>
        </w:div>
        <w:div w:id="416172298">
          <w:marLeft w:val="0"/>
          <w:marRight w:val="0"/>
          <w:marTop w:val="0"/>
          <w:marBottom w:val="0"/>
          <w:divBdr>
            <w:top w:val="none" w:sz="0" w:space="0" w:color="auto"/>
            <w:left w:val="none" w:sz="0" w:space="0" w:color="auto"/>
            <w:bottom w:val="none" w:sz="0" w:space="0" w:color="auto"/>
            <w:right w:val="none" w:sz="0" w:space="0" w:color="auto"/>
          </w:divBdr>
        </w:div>
        <w:div w:id="354506944">
          <w:marLeft w:val="0"/>
          <w:marRight w:val="0"/>
          <w:marTop w:val="0"/>
          <w:marBottom w:val="0"/>
          <w:divBdr>
            <w:top w:val="none" w:sz="0" w:space="0" w:color="auto"/>
            <w:left w:val="none" w:sz="0" w:space="0" w:color="auto"/>
            <w:bottom w:val="none" w:sz="0" w:space="0" w:color="auto"/>
            <w:right w:val="none" w:sz="0" w:space="0" w:color="auto"/>
          </w:divBdr>
        </w:div>
        <w:div w:id="879781469">
          <w:marLeft w:val="0"/>
          <w:marRight w:val="0"/>
          <w:marTop w:val="0"/>
          <w:marBottom w:val="0"/>
          <w:divBdr>
            <w:top w:val="none" w:sz="0" w:space="0" w:color="auto"/>
            <w:left w:val="none" w:sz="0" w:space="0" w:color="auto"/>
            <w:bottom w:val="none" w:sz="0" w:space="0" w:color="auto"/>
            <w:right w:val="none" w:sz="0" w:space="0" w:color="auto"/>
          </w:divBdr>
        </w:div>
        <w:div w:id="832184386">
          <w:marLeft w:val="0"/>
          <w:marRight w:val="0"/>
          <w:marTop w:val="0"/>
          <w:marBottom w:val="0"/>
          <w:divBdr>
            <w:top w:val="none" w:sz="0" w:space="0" w:color="auto"/>
            <w:left w:val="none" w:sz="0" w:space="0" w:color="auto"/>
            <w:bottom w:val="none" w:sz="0" w:space="0" w:color="auto"/>
            <w:right w:val="none" w:sz="0" w:space="0" w:color="auto"/>
          </w:divBdr>
        </w:div>
        <w:div w:id="1144812564">
          <w:marLeft w:val="0"/>
          <w:marRight w:val="0"/>
          <w:marTop w:val="0"/>
          <w:marBottom w:val="0"/>
          <w:divBdr>
            <w:top w:val="none" w:sz="0" w:space="0" w:color="auto"/>
            <w:left w:val="none" w:sz="0" w:space="0" w:color="auto"/>
            <w:bottom w:val="none" w:sz="0" w:space="0" w:color="auto"/>
            <w:right w:val="none" w:sz="0" w:space="0" w:color="auto"/>
          </w:divBdr>
        </w:div>
        <w:div w:id="1063986267">
          <w:marLeft w:val="0"/>
          <w:marRight w:val="0"/>
          <w:marTop w:val="0"/>
          <w:marBottom w:val="0"/>
          <w:divBdr>
            <w:top w:val="none" w:sz="0" w:space="0" w:color="auto"/>
            <w:left w:val="none" w:sz="0" w:space="0" w:color="auto"/>
            <w:bottom w:val="none" w:sz="0" w:space="0" w:color="auto"/>
            <w:right w:val="none" w:sz="0" w:space="0" w:color="auto"/>
          </w:divBdr>
        </w:div>
        <w:div w:id="515114302">
          <w:marLeft w:val="0"/>
          <w:marRight w:val="0"/>
          <w:marTop w:val="0"/>
          <w:marBottom w:val="0"/>
          <w:divBdr>
            <w:top w:val="none" w:sz="0" w:space="0" w:color="auto"/>
            <w:left w:val="none" w:sz="0" w:space="0" w:color="auto"/>
            <w:bottom w:val="none" w:sz="0" w:space="0" w:color="auto"/>
            <w:right w:val="none" w:sz="0" w:space="0" w:color="auto"/>
          </w:divBdr>
        </w:div>
        <w:div w:id="646319948">
          <w:marLeft w:val="0"/>
          <w:marRight w:val="0"/>
          <w:marTop w:val="0"/>
          <w:marBottom w:val="0"/>
          <w:divBdr>
            <w:top w:val="none" w:sz="0" w:space="0" w:color="auto"/>
            <w:left w:val="none" w:sz="0" w:space="0" w:color="auto"/>
            <w:bottom w:val="none" w:sz="0" w:space="0" w:color="auto"/>
            <w:right w:val="none" w:sz="0" w:space="0" w:color="auto"/>
          </w:divBdr>
        </w:div>
        <w:div w:id="331418543">
          <w:marLeft w:val="0"/>
          <w:marRight w:val="0"/>
          <w:marTop w:val="0"/>
          <w:marBottom w:val="0"/>
          <w:divBdr>
            <w:top w:val="none" w:sz="0" w:space="0" w:color="auto"/>
            <w:left w:val="none" w:sz="0" w:space="0" w:color="auto"/>
            <w:bottom w:val="none" w:sz="0" w:space="0" w:color="auto"/>
            <w:right w:val="none" w:sz="0" w:space="0" w:color="auto"/>
          </w:divBdr>
          <w:divsChild>
            <w:div w:id="1031147455">
              <w:marLeft w:val="0"/>
              <w:marRight w:val="0"/>
              <w:marTop w:val="0"/>
              <w:marBottom w:val="0"/>
              <w:divBdr>
                <w:top w:val="none" w:sz="0" w:space="0" w:color="auto"/>
                <w:left w:val="none" w:sz="0" w:space="0" w:color="auto"/>
                <w:bottom w:val="none" w:sz="0" w:space="0" w:color="auto"/>
                <w:right w:val="none" w:sz="0" w:space="0" w:color="auto"/>
              </w:divBdr>
            </w:div>
            <w:div w:id="296419531">
              <w:marLeft w:val="0"/>
              <w:marRight w:val="0"/>
              <w:marTop w:val="0"/>
              <w:marBottom w:val="0"/>
              <w:divBdr>
                <w:top w:val="none" w:sz="0" w:space="0" w:color="auto"/>
                <w:left w:val="none" w:sz="0" w:space="0" w:color="auto"/>
                <w:bottom w:val="none" w:sz="0" w:space="0" w:color="auto"/>
                <w:right w:val="none" w:sz="0" w:space="0" w:color="auto"/>
              </w:divBdr>
            </w:div>
            <w:div w:id="470295668">
              <w:marLeft w:val="0"/>
              <w:marRight w:val="0"/>
              <w:marTop w:val="0"/>
              <w:marBottom w:val="0"/>
              <w:divBdr>
                <w:top w:val="none" w:sz="0" w:space="0" w:color="auto"/>
                <w:left w:val="none" w:sz="0" w:space="0" w:color="auto"/>
                <w:bottom w:val="none" w:sz="0" w:space="0" w:color="auto"/>
                <w:right w:val="none" w:sz="0" w:space="0" w:color="auto"/>
              </w:divBdr>
              <w:divsChild>
                <w:div w:id="9506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4688">
          <w:marLeft w:val="0"/>
          <w:marRight w:val="0"/>
          <w:marTop w:val="0"/>
          <w:marBottom w:val="0"/>
          <w:divBdr>
            <w:top w:val="none" w:sz="0" w:space="0" w:color="auto"/>
            <w:left w:val="none" w:sz="0" w:space="0" w:color="auto"/>
            <w:bottom w:val="none" w:sz="0" w:space="0" w:color="auto"/>
            <w:right w:val="none" w:sz="0" w:space="0" w:color="auto"/>
          </w:divBdr>
        </w:div>
        <w:div w:id="133943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Elliman</dc:creator>
  <cp:keywords/>
  <dc:description/>
  <cp:lastModifiedBy>Maxine Smith</cp:lastModifiedBy>
  <cp:revision>2</cp:revision>
  <dcterms:created xsi:type="dcterms:W3CDTF">2023-03-04T12:38:00Z</dcterms:created>
  <dcterms:modified xsi:type="dcterms:W3CDTF">2023-03-04T12:38:00Z</dcterms:modified>
</cp:coreProperties>
</file>